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A5BBD">
      <w:pPr>
        <w:pStyle w:val="3"/>
        <w:bidi w:val="0"/>
        <w:jc w:val="center"/>
        <w:rPr>
          <w:rFonts w:hint="default" w:eastAsia="宋体"/>
          <w:sz w:val="36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sz w:val="36"/>
          <w:szCs w:val="28"/>
          <w:lang w:val="en-US" w:eastAsia="zh-CN"/>
        </w:rPr>
        <w:t>古蔺县人民医院</w:t>
      </w:r>
      <w:r>
        <w:rPr>
          <w:rFonts w:hint="eastAsia"/>
          <w:sz w:val="36"/>
          <w:szCs w:val="28"/>
        </w:rPr>
        <w:t>外送检验项目</w:t>
      </w:r>
      <w:r>
        <w:rPr>
          <w:rFonts w:hint="eastAsia"/>
          <w:sz w:val="36"/>
          <w:szCs w:val="28"/>
          <w:lang w:val="en-US" w:eastAsia="zh-CN"/>
        </w:rPr>
        <w:t>服务内容</w:t>
      </w:r>
    </w:p>
    <w:p w14:paraId="276A0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zh-CN" w:eastAsia="zh-CN"/>
        </w:rPr>
        <w:t>技术要求</w:t>
      </w:r>
    </w:p>
    <w:p w14:paraId="66202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★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1.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外送项目：涵盖以下服务清单，检测项目并不局限于所列项目，可依据临床以及医院发展需求对项目进行增减。 </w:t>
      </w:r>
    </w:p>
    <w:p w14:paraId="01CF6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.收费标准：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以泸州市物价二级甲等收费标准为参考价，合同期内价格政策有调整，结算是以实际执行价格政策为准。</w:t>
      </w:r>
    </w:p>
    <w:p w14:paraId="105FB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★</w:t>
      </w:r>
      <w:r>
        <w:rPr>
          <w:rFonts w:hint="eastAsia" w:ascii="宋体" w:hAnsi="宋体" w:cs="宋体"/>
          <w:sz w:val="30"/>
          <w:szCs w:val="30"/>
          <w:lang w:val="en-US" w:eastAsia="zh-CN"/>
        </w:rPr>
        <w:t>3</w:t>
      </w:r>
      <w:r>
        <w:rPr>
          <w:rFonts w:hint="eastAsia" w:ascii="宋体" w:hAnsi="宋体" w:eastAsia="宋体" w:cs="宋体"/>
          <w:sz w:val="30"/>
          <w:szCs w:val="30"/>
          <w:lang w:val="zh-CN" w:eastAsia="zh-CN"/>
        </w:rPr>
        <w:t>.</w:t>
      </w:r>
      <w:r>
        <w:rPr>
          <w:rFonts w:hint="eastAsia" w:ascii="宋体" w:hAnsi="宋体" w:eastAsia="宋体" w:cs="宋体"/>
          <w:sz w:val="30"/>
          <w:szCs w:val="30"/>
        </w:rPr>
        <w:t>服务清单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备注：包括所有的标本类型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）</w:t>
      </w:r>
    </w:p>
    <w:tbl>
      <w:tblPr>
        <w:tblStyle w:val="5"/>
        <w:tblW w:w="901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928"/>
        <w:gridCol w:w="2877"/>
        <w:gridCol w:w="1500"/>
      </w:tblGrid>
      <w:tr w14:paraId="4D4DA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BA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序列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41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送检项目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A1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DFD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报告时间</w:t>
            </w:r>
          </w:p>
        </w:tc>
      </w:tr>
      <w:tr w14:paraId="164F6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C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4A0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安全用药基因检测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ED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54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517271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A2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8D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中枢神经系统多种病原体靶向测序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94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1A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63DA6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6C2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96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常见病原体靶向</w:t>
            </w:r>
            <w:r>
              <w:rPr>
                <w:rStyle w:val="9"/>
                <w:sz w:val="21"/>
                <w:szCs w:val="21"/>
                <w:lang w:val="en-US" w:eastAsia="zh-CN" w:bidi="ar"/>
              </w:rPr>
              <w:t>测序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B5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60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2个工作日内</w:t>
            </w:r>
          </w:p>
        </w:tc>
      </w:tr>
      <w:tr w14:paraId="496C5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85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DAD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阿尔茨海默相关神经丝蛋白(AD7C-NTP)检测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55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阿尔茨海默相关神经丝蛋白(AD7C-NTP)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2D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63F0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5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2C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人磷酸化tau-181蛋白检测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F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脑脊液磷酸化Tau蛋白检测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7D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A35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28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76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中枢神经特异蛋白(S100β)测定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3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中枢神经特异蛋白(S100β)测定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F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38CB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0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HIV-1基因型耐药检测（含整合酶）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AC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脱氧核糖核酸（DNA）测序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3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207DA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6B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D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骨髓组织活检检查与诊断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3A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骨髓组织活检检查与诊断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C6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15764E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8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7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36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免疫组织化学染色诊断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73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7个工作日内</w:t>
            </w:r>
          </w:p>
        </w:tc>
      </w:tr>
      <w:tr w14:paraId="18DDA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30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B2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特殊染色及酶组织化学染色诊断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FE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特殊染色及酶组织化学染色诊断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0E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6B56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3E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55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外周血染色体核型分析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DCC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外周血染色体核型分析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96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10个工作日内</w:t>
            </w:r>
          </w:p>
        </w:tc>
      </w:tr>
      <w:tr w14:paraId="51C0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B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83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白血病融合基因分型检测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C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白血病融合基因分型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A5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1EDD0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9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EA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流式细胞检测（流式细胞术）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E10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流式细胞检测（流式细胞术）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0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1D9F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59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9B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荧光原位杂交（FISH）检测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4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荧光原位杂交（FISH）检测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3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4598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90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5F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血清免疫固定电泳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0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免疫固定电泳(血清标本)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C0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775E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0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0C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血清蛋白电泳(高压电泳)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55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血清蛋白电泳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53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8F6A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C1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25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血红蛋白电泳（高压电泳）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36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DE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234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31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E0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尿本周氏蛋白电泳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C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免疫固定电泳(尿标本)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A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CED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E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D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免疫球蛋白轻链组合(K和λ)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4A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轻链KAPPA、LAMBDA定量（K-LC，λ-LC）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7D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16E1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FA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F5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C2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血红蛋白电泳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33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487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8E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D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红细胞渗透脆性试验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F0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红细胞渗透脆性试验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34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F0D6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04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9A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蔗糖溶血试验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7F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蔗糖溶血试验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1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4959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8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30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血清酸化溶血试验（Ham）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B3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血清酸化溶血试验（Ham）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2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DC99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7C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08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酸化甘油溶血试验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7E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酸化甘油溶血试验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03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4EF2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E9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21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红细胞孵育渗透脆性试验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84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红细胞孵育渗透脆性试验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D856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32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A8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高铁血红蛋白还原试验（MHB—RT）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B5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高铁血红蛋白还原试验（MHB—RT）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FB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9854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3D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25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不稳定血红蛋白测定（异丙醇试验）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23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不稳定血红蛋白测定（异丙醇试验）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B8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D390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FC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6F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葡萄糖6-磷酸脱氢酶活性检测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13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葡萄糖6-磷酸脱氢酶活性检测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EE0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2D38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7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AB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促红细胞生成素测定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4A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促红细胞生成素测定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7F7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9D9E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91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5746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抗内因子抗体测定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76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抗内因子抗体测定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3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66CF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B8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B0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抗组织细胞抗体测定（胃壁细胞抗体）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2C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抗组织细胞抗体测定（胃壁细胞抗体）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84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9A5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F1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F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血小板抗体检测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血小板特异性和组织相关融性（HLA）抗体检测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B5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4A96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05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5C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血浆蛋白C活性测定（PC）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BF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血浆蛋白C活性测定（PC）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11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FC59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B8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5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血浆蛋白S测定（PS）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F5E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血浆蛋白S测定（PS）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C390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0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2A6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9A3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抗β2-糖蛋白1抗体测定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4A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CBDA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B21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4930C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抗心磷脂抗体测定(ACA)（IgA）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DB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抗心磷脂抗体测定(ACA)（IgA）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6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794D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D4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2649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抗心磷脂抗体测定(ACA)（IgG）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7A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抗心磷脂抗体测定(ACA)（IgG）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5D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F324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36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F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血管性假性血友病因子(VWF)抗原测定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8B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血管性假性血友病因子(VWF)抗原测定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A2F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9B84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5F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16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微小病毒（B19）核酸检测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D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各类病原体DNA测定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7AA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768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AC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10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肾上腺素测定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AC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肾上腺素测定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10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DB0F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2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F0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去甲肾上腺素测定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E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去甲肾上腺素测定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0642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C5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D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乙肝基因分型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1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乙肝基因分型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CC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58B1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BD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丙肝基因分型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8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丙肝基因分型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04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FF7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FE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0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乙型肝炎病毒基因YMDD变异测定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715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乙型肝炎病毒基因YMDD变异测定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0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374E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67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35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丁型肝炎抗体测定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D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丁型肝炎抗体测定（Anti-HDV）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B8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9788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1A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A1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铜蓝蛋白检测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1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铜蓝蛋白测定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069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74D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4B3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82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EB病毒抗体测定(EBV-EA)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5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EB病毒抗体测定(EBV-EA)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0A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46D4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65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31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EB病毒抗体测定(EBNAIgG)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5C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EB病毒抗体测定(EBNAIgG)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2F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4F8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FF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69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EB病毒抗体测定(IgG)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F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EB病毒抗体测定(IgG)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B6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6BD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52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0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EB病毒抗体测定(IgM)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B35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EB病毒抗体测定(IgM)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95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BE9A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85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F0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CC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药物浓度测定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F9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C46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77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C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全血铅测定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81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全血铅测定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5D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F459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E3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B4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肿瘤坏死因子测定（TNF）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肿瘤坏死因子测定（TNF）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7B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1324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1D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01F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F119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抗精子抗体测定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480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C651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4FB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2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抗子宫内膜抗体测定（EMAb）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85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抗子宫内膜抗体测定（EMAb）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05A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9F2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1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33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0C9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抗卵巢抗体测定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3E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9EF5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DE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82B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抗人绒毛膜促性腺激素抗体（AHcGAb）测定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2E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抗人绒毛膜促性腺激素抗体（AHcGAb）测定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E2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3652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D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2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精浆中性a-葡萄糖苷酶活性测定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1AF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精浆中性a-葡萄糖苷酶活性测定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0E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C20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7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F6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精液果糖测定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C7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精液果糖测定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5E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12391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61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B2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精液酸性磷酸酶测定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2D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精液酸性磷酸酶测定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FC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712F8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92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4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胎盘生长因子检测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D7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胎盘生长因子检测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5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A4A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8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B1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水痘—带状疱疹病毒IgG抗体测定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E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水痘—带状疱疹病毒IgG抗体测定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DE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6FD6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81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B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水痘-带状疱疹病毒DNA荧光定性测定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6F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水痘-带状疱疹病毒DNA荧光定性测定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CA0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9092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18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A1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IgG4检测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B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免疫球蛋白亚类定量测定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29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E01C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48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BAA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人乳头瘤病毒E6/E7检测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7B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人乳头瘤病毒(HPV)核酸检测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6E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1AA3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44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0E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肝吸虫IgG抗体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D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F2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091F3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CB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肺吸虫IgG抗体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9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C26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38309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2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73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日本血吸虫IgG抗体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6D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C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28D22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62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2F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猪囊尾幼IgG抗体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CC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F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66B7D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F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F2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广州管圆线虫IgG抗体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07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3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50E24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2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05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包虫IgG抗体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24B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各种寄生虫免疫学检查（酶免法）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3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856F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0D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9E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弓形虫IgG亲和力检测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2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弓形虫IgG亲和力检测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9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  <w:tr w14:paraId="41968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DB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6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巨细胞病毒IgG亲和力检测</w:t>
            </w:r>
          </w:p>
        </w:tc>
        <w:tc>
          <w:tcPr>
            <w:tcW w:w="2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03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巨细胞病毒IgG亲和力检测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685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5个工作日内</w:t>
            </w:r>
          </w:p>
        </w:tc>
      </w:tr>
    </w:tbl>
    <w:p w14:paraId="44D46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参与调研机构资格要求</w:t>
      </w:r>
    </w:p>
    <w:p w14:paraId="06EA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1. 具备独立法人资格，获中国合格评定国家认可委员会实验室认可证书，拥有ISO15189等质量体系认证证书及专业临床服务团队。</w:t>
      </w:r>
    </w:p>
    <w:p w14:paraId="63B0CF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0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2. 有稳定专业检验技术团队和完备质量管理体系，确保检验结果准确、可靠、可溯源，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能提供国家卫健委认证的室间质量评证合格材料。</w:t>
      </w:r>
    </w:p>
    <w:p w14:paraId="5ECCEE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0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3. 具备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或能提供覆盖本地区的可靠样本冷链运输网络及完善样本管理流程。</w:t>
      </w:r>
    </w:p>
    <w:p w14:paraId="4B75CB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0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>. 有良好商业信誉和健全财务会计制度，近三年无重大违法违规及质量、安全事故。</w:t>
      </w:r>
    </w:p>
    <w:p w14:paraId="68BEA9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ind w:firstLine="600" w:firstLineChars="200"/>
        <w:textAlignment w:val="auto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sz w:val="30"/>
          <w:szCs w:val="30"/>
          <w:lang w:eastAsia="zh-CN"/>
        </w:rPr>
        <w:t xml:space="preserve">. 能与本单位信息系统（如LIS、HIS）实现数据互联互通或提供标准规范的数据接口，确保申请、报告传递及时、准确与信息安全。 </w:t>
      </w:r>
    </w:p>
    <w:p w14:paraId="29CB3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8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00A35"/>
    <w:rsid w:val="09A00A35"/>
    <w:rsid w:val="20D64C22"/>
    <w:rsid w:val="2E612427"/>
    <w:rsid w:val="373D0AAB"/>
    <w:rsid w:val="3F65398F"/>
    <w:rsid w:val="48833C0B"/>
    <w:rsid w:val="4F67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Normal]"/>
    <w:qFormat/>
    <w:uiPriority w:val="0"/>
    <w:rPr>
      <w:rFonts w:ascii="宋体" w:hAnsi="宋体" w:eastAsia="宋体" w:cs="Times New Roman"/>
      <w:sz w:val="24"/>
      <w:szCs w:val="22"/>
      <w:lang w:val="zh-CN" w:eastAsia="zh-CN" w:bidi="ar-SA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null3"/>
    <w:qFormat/>
    <w:uiPriority w:val="0"/>
    <w:rPr>
      <w:rFonts w:hint="eastAsia" w:ascii="Calibri" w:hAnsi="Calibri" w:eastAsia="宋体" w:cs="Times New Roman"/>
      <w:lang w:val="en-US" w:eastAsia="zh-Hans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2429</Words>
  <Characters>2772</Characters>
  <Lines>0</Lines>
  <Paragraphs>0</Paragraphs>
  <TotalTime>14</TotalTime>
  <ScaleCrop>false</ScaleCrop>
  <LinksUpToDate>false</LinksUpToDate>
  <CharactersWithSpaces>2779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2026-01-27T02:17:00Z</dcterms:created>
  <dc:creator>liang</dc:creator>
  <cp:lastModifiedBy>圈圈</cp:lastModifiedBy>
  <dcterms:modified xsi:type="dcterms:W3CDTF">2026-01-28T03:30:05Z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6BE27DDD755D48309086500F9839DB22_13</vt:lpwstr>
  </property>
  <property fmtid="{D5CDD505-2E9C-101B-9397-08002B2CF9AE}" pid="4" name="KSOTemplateDocerSaveRecord">
    <vt:lpwstr>eyJoZGlkIjoiODI4ODRiMzFlZDM4MGQxZWRjNTlkZjYwNmZhOTNkM2YiLCJ1c2VySWQiOiIzNzQ0MDk5MTcifQ==</vt:lpwstr>
  </property>
</Properties>
</file>